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8EE" w:rsidRDefault="009A1A41">
      <w:r>
        <w:rPr>
          <w:noProof/>
        </w:rPr>
        <w:pict>
          <v:shapetype id="_x0000_t202" coordsize="21600,21600" o:spt="202" path="m,l,21600r21600,l21600,xe">
            <v:stroke joinstyle="miter"/>
            <v:path gradientshapeok="t" o:connecttype="rect"/>
          </v:shapetype>
          <v:shape id="TextBox 8" o:spid="_x0000_s1026" type="#_x0000_t202" style="position:absolute;margin-left:3pt;margin-top:-8.2pt;width:607.15pt;height:708.25pt;z-index:251658240;visibility:visible;mso-wrap-distance-left:9pt;mso-wrap-distance-top:0;mso-wrap-distance-right:9pt;mso-wrap-distance-bottom:0;mso-width-relative:margin;mso-height-relative:margin;v-text-anchor:top" filled="f" stroked="f">
            <v:textbox>
              <w:txbxContent>
                <w:p w:rsidR="00900785" w:rsidRDefault="009A1A41" w:rsidP="00900785">
                  <w:pPr>
                    <w:pStyle w:val="NormalWeb"/>
                    <w:spacing w:before="0" w:beforeAutospacing="0" w:after="0" w:afterAutospacing="0"/>
                    <w:jc w:val="center"/>
                  </w:pPr>
                </w:p>
                <w:p w:rsidR="00900785" w:rsidRPr="0078042E" w:rsidRDefault="0043283C" w:rsidP="0043283C">
                  <w:pPr>
                    <w:pStyle w:val="NormalWeb"/>
                    <w:spacing w:before="0" w:beforeAutospacing="0" w:after="240" w:afterAutospacing="0"/>
                    <w:jc w:val="center"/>
                    <w:rPr>
                      <w:rFonts w:ascii="Calibri" w:hAnsi="Calibri" w:cs="Calibri"/>
                      <w:sz w:val="36"/>
                      <w:szCs w:val="36"/>
                    </w:rPr>
                  </w:pPr>
                  <w:r>
                    <w:rPr>
                      <w:rFonts w:ascii="Calibri" w:hAnsi="Calibri" w:cs="Calibri"/>
                      <w:noProof/>
                      <w:sz w:val="48"/>
                      <w:szCs w:val="48"/>
                    </w:rPr>
                    <w:t>Takuwe (</w:t>
                  </w:r>
                  <w:r>
                    <w:rPr>
                      <w:rFonts w:ascii="Calibri" w:hAnsi="Calibri" w:cs="Calibri"/>
                      <w:sz w:val="48"/>
                      <w:szCs w:val="48"/>
                    </w:rPr>
                    <w:t xml:space="preserve">Why) - The 1890 Massacre of Lakotas at Wounded Knee </w:t>
                  </w:r>
                </w:p>
                <w:p w:rsidR="00900785" w:rsidRPr="0043283C" w:rsidRDefault="0085083E" w:rsidP="0043283C">
                  <w:pPr>
                    <w:pStyle w:val="NormalWeb"/>
                    <w:spacing w:after="240"/>
                    <w:jc w:val="center"/>
                    <w:rPr>
                      <w:rFonts w:ascii="Calibri" w:hAnsi="Calibri" w:cs="Calibri"/>
                      <w:sz w:val="32"/>
                      <w:szCs w:val="32"/>
                    </w:rPr>
                  </w:pPr>
                  <w:r>
                    <w:rPr>
                      <w:rFonts w:ascii="Calibri" w:hAnsi="Calibri" w:cs="Calibri"/>
                      <w:noProof/>
                      <w:sz w:val="32"/>
                      <w:szCs w:val="32"/>
                    </w:rPr>
                    <w:t xml:space="preserve">Credit Hours </w:t>
                  </w:r>
                  <w:r w:rsidR="0043283C" w:rsidRPr="0043283C">
                    <w:rPr>
                      <w:rFonts w:ascii="Calibri" w:hAnsi="Calibri" w:cs="Calibri"/>
                      <w:noProof/>
                      <w:sz w:val="32"/>
                      <w:szCs w:val="32"/>
                    </w:rPr>
                    <w:t>Available: 10/1</w:t>
                  </w:r>
                  <w:r w:rsidR="0043283C" w:rsidRPr="0043283C">
                    <w:rPr>
                      <w:rFonts w:ascii="Calibri" w:hAnsi="Calibri" w:cs="Calibri"/>
                      <w:sz w:val="32"/>
                      <w:szCs w:val="32"/>
                    </w:rPr>
                    <w:t>/2018 8:00:00 AM-</w:t>
                  </w:r>
                  <w:r w:rsidR="00061692">
                    <w:rPr>
                      <w:rFonts w:ascii="Calibri" w:hAnsi="Calibri" w:cs="Calibri"/>
                      <w:noProof/>
                      <w:sz w:val="32"/>
                      <w:szCs w:val="32"/>
                    </w:rPr>
                    <w:t>10/1</w:t>
                  </w:r>
                  <w:r w:rsidR="00061692">
                    <w:rPr>
                      <w:rFonts w:ascii="Calibri" w:hAnsi="Calibri" w:cs="Calibri"/>
                      <w:sz w:val="32"/>
                      <w:szCs w:val="32"/>
                    </w:rPr>
                    <w:t>/2019</w:t>
                  </w:r>
                  <w:r w:rsidR="0043283C" w:rsidRPr="0043283C">
                    <w:rPr>
                      <w:rFonts w:ascii="Calibri" w:hAnsi="Calibri" w:cs="Calibri"/>
                      <w:sz w:val="32"/>
                      <w:szCs w:val="32"/>
                    </w:rPr>
                    <w:t xml:space="preserve"> 5:00:00 PM</w:t>
                  </w:r>
                </w:p>
                <w:p w:rsidR="006B6D30" w:rsidRPr="0093151B" w:rsidRDefault="0085083E" w:rsidP="0093151B">
                  <w:pPr>
                    <w:jc w:val="center"/>
                    <w:rPr>
                      <w:sz w:val="18"/>
                    </w:rPr>
                  </w:pPr>
                  <w:r>
                    <w:rPr>
                      <w:rFonts w:ascii="Bookman Old Style" w:eastAsiaTheme="minorEastAsia" w:hAnsi="Bookman Old Style"/>
                      <w:color w:val="FF0000"/>
                      <w:kern w:val="24"/>
                      <w:sz w:val="24"/>
                      <w:szCs w:val="32"/>
                      <w:u w:val="single"/>
                    </w:rPr>
                    <w:t>Art Exhibit</w:t>
                  </w:r>
                  <w:r w:rsidR="0043283C">
                    <w:rPr>
                      <w:rFonts w:ascii="Bookman Old Style" w:eastAsiaTheme="minorEastAsia" w:hAnsi="Bookman Old Style"/>
                      <w:color w:val="FF0000"/>
                      <w:kern w:val="24"/>
                      <w:sz w:val="24"/>
                      <w:szCs w:val="32"/>
                      <w:u w:val="single"/>
                    </w:rPr>
                    <w:t xml:space="preserve"> and Avera CE Portal Post Test </w:t>
                  </w:r>
                </w:p>
                <w:p w:rsidR="0012773F" w:rsidRPr="0043283C" w:rsidRDefault="0043283C" w:rsidP="0012773F">
                  <w:pPr>
                    <w:pStyle w:val="NormalWeb"/>
                    <w:rPr>
                      <w:rFonts w:ascii="Calibri" w:hAnsi="Calibri" w:cs="Calibri"/>
                      <w:sz w:val="20"/>
                      <w:szCs w:val="20"/>
                    </w:rPr>
                  </w:pPr>
                  <w:r w:rsidRPr="0043283C">
                    <w:rPr>
                      <w:rFonts w:ascii="Calibri" w:hAnsi="Calibri" w:cs="Calibri"/>
                      <w:b/>
                      <w:bCs/>
                      <w:sz w:val="20"/>
                      <w:szCs w:val="20"/>
                      <w:u w:val="single"/>
                    </w:rPr>
                    <w:t>Purpose:</w:t>
                  </w:r>
                  <w:r w:rsidRPr="0043283C">
                    <w:rPr>
                      <w:rFonts w:ascii="Calibri" w:hAnsi="Calibri" w:cs="Calibri"/>
                      <w:bCs/>
                      <w:sz w:val="20"/>
                      <w:szCs w:val="20"/>
                    </w:rPr>
                    <w:t xml:space="preserve"> </w:t>
                  </w:r>
                  <w:r w:rsidRPr="0043283C">
                    <w:rPr>
                      <w:rFonts w:ascii="Calibri" w:hAnsi="Calibri" w:cs="Calibri"/>
                      <w:sz w:val="20"/>
                      <w:szCs w:val="20"/>
                    </w:rPr>
                    <w:t xml:space="preserve"> </w:t>
                  </w:r>
                  <w:r w:rsidRPr="0043283C">
                    <w:rPr>
                      <w:rFonts w:ascii="Calibri" w:hAnsi="Calibri" w:cs="Calibri"/>
                      <w:noProof/>
                      <w:sz w:val="20"/>
                      <w:szCs w:val="20"/>
                    </w:rPr>
                    <w:t xml:space="preserve">Takuwe, </w:t>
                  </w:r>
                  <w:r w:rsidRPr="0043283C">
                    <w:rPr>
                      <w:rFonts w:ascii="Calibri" w:hAnsi="Calibri" w:cs="Calibri"/>
                      <w:sz w:val="20"/>
                      <w:szCs w:val="20"/>
                    </w:rPr>
                    <w:t>meaning 'Why' in English, is an educational art exhibition centered on reimagining the senseless slaughter of three hundred Lakotas on December 29, 1890.  The art exhibition includes songs, visual artworks, and poems by contemporary Lakota artists.  This learning opportunity will provide health care providers the opportunity to learn about the Lakota and Dakota culture and history in order to provide culturally competent care.</w:t>
                  </w:r>
                </w:p>
                <w:p w:rsidR="006B6D30" w:rsidRPr="0043283C" w:rsidRDefault="0043283C" w:rsidP="0012773F">
                  <w:pPr>
                    <w:pStyle w:val="NormalWeb"/>
                    <w:rPr>
                      <w:rFonts w:ascii="Calibri" w:hAnsi="Calibri" w:cs="Calibri"/>
                      <w:bCs/>
                      <w:noProof/>
                      <w:sz w:val="20"/>
                      <w:szCs w:val="20"/>
                    </w:rPr>
                  </w:pPr>
                  <w:r w:rsidRPr="0043283C">
                    <w:rPr>
                      <w:rFonts w:ascii="Calibri" w:hAnsi="Calibri" w:cs="Calibri"/>
                      <w:b/>
                      <w:bCs/>
                      <w:sz w:val="20"/>
                      <w:szCs w:val="20"/>
                      <w:u w:val="single"/>
                    </w:rPr>
                    <w:t>Objectives:</w:t>
                  </w:r>
                  <w:r w:rsidRPr="0043283C">
                    <w:rPr>
                      <w:rFonts w:ascii="Calibri" w:hAnsi="Calibri" w:cs="Calibri"/>
                      <w:bCs/>
                      <w:sz w:val="20"/>
                      <w:szCs w:val="20"/>
                    </w:rPr>
                    <w:t xml:space="preserve"> </w:t>
                  </w:r>
                </w:p>
                <w:p w:rsidR="006B6D30" w:rsidRPr="0043283C" w:rsidRDefault="0043283C" w:rsidP="0012773F">
                  <w:pPr>
                    <w:pStyle w:val="NormalWeb"/>
                    <w:rPr>
                      <w:rFonts w:ascii="Calibri" w:hAnsi="Calibri" w:cs="Calibri"/>
                      <w:bCs/>
                      <w:sz w:val="20"/>
                      <w:szCs w:val="20"/>
                    </w:rPr>
                  </w:pPr>
                  <w:r w:rsidRPr="0043283C">
                    <w:rPr>
                      <w:rFonts w:ascii="Calibri" w:hAnsi="Calibri" w:cs="Calibri"/>
                      <w:bCs/>
                      <w:sz w:val="20"/>
                      <w:szCs w:val="20"/>
                    </w:rPr>
                    <w:t>1. Recite names of three Lakota reservations directly related to the Wounded Knee Massacre of 1890.</w:t>
                  </w:r>
                </w:p>
                <w:p w:rsidR="006B6D30" w:rsidRPr="0043283C" w:rsidRDefault="0043283C" w:rsidP="0012773F">
                  <w:pPr>
                    <w:pStyle w:val="NormalWeb"/>
                    <w:rPr>
                      <w:rFonts w:ascii="Calibri" w:hAnsi="Calibri" w:cs="Calibri"/>
                      <w:bCs/>
                      <w:sz w:val="20"/>
                      <w:szCs w:val="20"/>
                    </w:rPr>
                  </w:pPr>
                  <w:r w:rsidRPr="0043283C">
                    <w:rPr>
                      <w:rFonts w:ascii="Calibri" w:hAnsi="Calibri" w:cs="Calibri"/>
                      <w:bCs/>
                      <w:sz w:val="20"/>
                      <w:szCs w:val="20"/>
                    </w:rPr>
                    <w:t xml:space="preserve">2. Recite six Lakota reservations and one federally recognized Lakota reservation.  </w:t>
                  </w:r>
                </w:p>
                <w:p w:rsidR="006B6D30" w:rsidRPr="0043283C" w:rsidRDefault="0043283C" w:rsidP="0012773F">
                  <w:pPr>
                    <w:pStyle w:val="NormalWeb"/>
                    <w:rPr>
                      <w:rFonts w:ascii="Calibri" w:hAnsi="Calibri" w:cs="Calibri"/>
                      <w:bCs/>
                      <w:sz w:val="20"/>
                      <w:szCs w:val="20"/>
                    </w:rPr>
                  </w:pPr>
                  <w:r w:rsidRPr="0043283C">
                    <w:rPr>
                      <w:rFonts w:ascii="Calibri" w:hAnsi="Calibri" w:cs="Calibri"/>
                      <w:bCs/>
                      <w:sz w:val="20"/>
                      <w:szCs w:val="20"/>
                    </w:rPr>
                    <w:t>3. Categorize artworks, poems, songs, panel text into Lakota reservations, Lakota tribes and exhibit sections.</w:t>
                  </w:r>
                </w:p>
                <w:p w:rsidR="006B6D30" w:rsidRPr="0043283C" w:rsidRDefault="0043283C" w:rsidP="0012773F">
                  <w:pPr>
                    <w:pStyle w:val="NormalWeb"/>
                    <w:rPr>
                      <w:rFonts w:ascii="Calibri" w:hAnsi="Calibri" w:cs="Calibri"/>
                      <w:bCs/>
                      <w:sz w:val="20"/>
                      <w:szCs w:val="20"/>
                    </w:rPr>
                  </w:pPr>
                  <w:r w:rsidRPr="0043283C">
                    <w:rPr>
                      <w:rFonts w:ascii="Calibri" w:hAnsi="Calibri" w:cs="Calibri"/>
                      <w:bCs/>
                      <w:sz w:val="20"/>
                      <w:szCs w:val="20"/>
                    </w:rPr>
                    <w:t>4. Compose a haiku about the seven exhibit sections using only words from the section's poem and panel text.</w:t>
                  </w:r>
                </w:p>
                <w:p w:rsidR="006B6D30" w:rsidRPr="0043283C" w:rsidRDefault="0043283C" w:rsidP="0012773F">
                  <w:pPr>
                    <w:pStyle w:val="NormalWeb"/>
                    <w:rPr>
                      <w:rFonts w:ascii="Calibri" w:hAnsi="Calibri" w:cs="Calibri"/>
                      <w:bCs/>
                      <w:sz w:val="20"/>
                      <w:szCs w:val="20"/>
                    </w:rPr>
                  </w:pPr>
                  <w:r w:rsidRPr="0043283C">
                    <w:rPr>
                      <w:rFonts w:ascii="Calibri" w:hAnsi="Calibri" w:cs="Calibri"/>
                      <w:bCs/>
                      <w:sz w:val="20"/>
                      <w:szCs w:val="20"/>
                    </w:rPr>
                    <w:t>5. Compare proposals to commemorate Wounded Knee massacre victims by using quotes from the exhibits to support learner position.</w:t>
                  </w:r>
                </w:p>
                <w:p w:rsidR="0012773F" w:rsidRPr="0043283C" w:rsidRDefault="0043283C" w:rsidP="0012773F">
                  <w:pPr>
                    <w:pStyle w:val="NormalWeb"/>
                    <w:rPr>
                      <w:rFonts w:ascii="Calibri" w:hAnsi="Calibri" w:cs="Calibri"/>
                      <w:sz w:val="20"/>
                      <w:szCs w:val="20"/>
                    </w:rPr>
                  </w:pPr>
                  <w:r w:rsidRPr="0043283C">
                    <w:rPr>
                      <w:rFonts w:ascii="Calibri" w:hAnsi="Calibri" w:cs="Calibri"/>
                      <w:b/>
                      <w:bCs/>
                      <w:sz w:val="20"/>
                      <w:szCs w:val="20"/>
                      <w:u w:val="single"/>
                    </w:rPr>
                    <w:t>Target Audience:</w:t>
                  </w:r>
                  <w:r w:rsidRPr="0043283C">
                    <w:rPr>
                      <w:rFonts w:ascii="Calibri" w:hAnsi="Calibri" w:cs="Calibri"/>
                      <w:bCs/>
                      <w:sz w:val="20"/>
                      <w:szCs w:val="20"/>
                    </w:rPr>
                    <w:t xml:space="preserve"> </w:t>
                  </w:r>
                  <w:r w:rsidRPr="0043283C">
                    <w:rPr>
                      <w:rFonts w:ascii="Calibri" w:hAnsi="Calibri" w:cs="Calibri"/>
                      <w:bCs/>
                      <w:noProof/>
                      <w:sz w:val="20"/>
                      <w:szCs w:val="20"/>
                    </w:rPr>
                    <w:t>All healthcare professionals</w:t>
                  </w:r>
                </w:p>
                <w:p w:rsidR="0012773F" w:rsidRPr="0043283C" w:rsidRDefault="0043283C" w:rsidP="0012773F">
                  <w:pPr>
                    <w:pStyle w:val="NormalWeb"/>
                    <w:rPr>
                      <w:rFonts w:ascii="Calibri" w:hAnsi="Calibri" w:cs="Calibri"/>
                      <w:sz w:val="20"/>
                      <w:szCs w:val="20"/>
                    </w:rPr>
                  </w:pPr>
                  <w:r w:rsidRPr="0043283C">
                    <w:rPr>
                      <w:rFonts w:ascii="Calibri" w:hAnsi="Calibri" w:cs="Calibri"/>
                      <w:b/>
                      <w:bCs/>
                      <w:sz w:val="20"/>
                      <w:szCs w:val="20"/>
                      <w:u w:val="single"/>
                    </w:rPr>
                    <w:t>For successful completion:</w:t>
                  </w:r>
                </w:p>
                <w:p w:rsidR="00061692" w:rsidRPr="00061692" w:rsidRDefault="0085083E" w:rsidP="00950F8F">
                  <w:pPr>
                    <w:pStyle w:val="NormalWeb"/>
                    <w:numPr>
                      <w:ilvl w:val="1"/>
                      <w:numId w:val="1"/>
                    </w:numPr>
                    <w:rPr>
                      <w:rFonts w:ascii="Century Gothic" w:hAnsi="Century Gothic"/>
                      <w:color w:val="000000"/>
                    </w:rPr>
                  </w:pPr>
                  <w:r w:rsidRPr="00061692">
                    <w:rPr>
                      <w:rFonts w:ascii="Calibri" w:hAnsi="Calibri" w:cs="Calibri"/>
                      <w:sz w:val="20"/>
                      <w:szCs w:val="20"/>
                    </w:rPr>
                    <w:t>View “Takuwe: An Educational Art Exhibit about the Wou</w:t>
                  </w:r>
                  <w:r w:rsidR="00061692" w:rsidRPr="00061692">
                    <w:rPr>
                      <w:rFonts w:ascii="Calibri" w:hAnsi="Calibri" w:cs="Calibri"/>
                      <w:sz w:val="20"/>
                      <w:szCs w:val="20"/>
                    </w:rPr>
                    <w:t>nded Knee Massacre” art exhibit by clicking the link:</w:t>
                  </w:r>
                  <w:r w:rsidR="00061692" w:rsidRPr="00061692">
                    <w:rPr>
                      <w:rFonts w:ascii="Century Gothic" w:hAnsi="Century Gothic"/>
                      <w:color w:val="000000"/>
                    </w:rPr>
                    <w:tab/>
                  </w:r>
                  <w:r w:rsidR="00061692" w:rsidRPr="00061692">
                    <w:rPr>
                      <w:rFonts w:ascii="Century Gothic" w:hAnsi="Century Gothic"/>
                      <w:color w:val="000000"/>
                    </w:rPr>
                    <w:tab/>
                  </w:r>
                  <w:hyperlink r:id="rId7" w:history="1">
                    <w:r w:rsidR="00061692" w:rsidRPr="00061692">
                      <w:rPr>
                        <w:rStyle w:val="Hyperlink"/>
                        <w:rFonts w:ascii="Century Gothic" w:hAnsi="Century Gothic"/>
                        <w:sz w:val="22"/>
                      </w:rPr>
                      <w:t>http://www.nativecairns.org/CAIRNS/Belief.html</w:t>
                    </w:r>
                  </w:hyperlink>
                  <w:r w:rsidR="00061692">
                    <w:rPr>
                      <w:rFonts w:ascii="Century Gothic" w:hAnsi="Century Gothic"/>
                      <w:color w:val="000000"/>
                    </w:rPr>
                    <w:br/>
                  </w:r>
                  <w:r w:rsidR="009A1A41">
                    <w:rPr>
                      <w:rFonts w:ascii="Century Gothic" w:hAnsi="Century Gothic"/>
                      <w:color w:val="000000"/>
                    </w:rPr>
                    <w:t xml:space="preserve">                                                                                                                                                                    </w:t>
                  </w:r>
                  <w:bookmarkStart w:id="0" w:name="_GoBack"/>
                  <w:bookmarkEnd w:id="0"/>
                </w:p>
                <w:p w:rsidR="00A910E7" w:rsidRPr="0043283C" w:rsidRDefault="0043283C" w:rsidP="0012773F">
                  <w:pPr>
                    <w:pStyle w:val="NormalWeb"/>
                    <w:numPr>
                      <w:ilvl w:val="1"/>
                      <w:numId w:val="1"/>
                    </w:numPr>
                    <w:rPr>
                      <w:rFonts w:ascii="Calibri" w:hAnsi="Calibri" w:cs="Calibri"/>
                      <w:sz w:val="20"/>
                      <w:szCs w:val="20"/>
                    </w:rPr>
                  </w:pPr>
                  <w:r w:rsidRPr="0043283C">
                    <w:rPr>
                      <w:rFonts w:ascii="Calibri" w:hAnsi="Calibri" w:cs="Calibri"/>
                      <w:sz w:val="20"/>
                      <w:szCs w:val="20"/>
                    </w:rPr>
                    <w:t xml:space="preserve">To receive a CE certificate, you complete </w:t>
                  </w:r>
                  <w:r w:rsidR="0085083E" w:rsidRPr="0043283C">
                    <w:rPr>
                      <w:rFonts w:ascii="Calibri" w:hAnsi="Calibri" w:cs="Calibri"/>
                      <w:sz w:val="20"/>
                      <w:szCs w:val="20"/>
                    </w:rPr>
                    <w:t xml:space="preserve">the </w:t>
                  </w:r>
                  <w:r w:rsidR="0085083E">
                    <w:rPr>
                      <w:rFonts w:ascii="Calibri" w:hAnsi="Calibri" w:cs="Calibri"/>
                      <w:sz w:val="20"/>
                      <w:szCs w:val="20"/>
                    </w:rPr>
                    <w:t xml:space="preserve">posttest with a 70% or higher score and complete the online </w:t>
                  </w:r>
                  <w:r w:rsidRPr="0043283C">
                    <w:rPr>
                      <w:rFonts w:ascii="Calibri" w:hAnsi="Calibri" w:cs="Calibri"/>
                      <w:sz w:val="20"/>
                      <w:szCs w:val="20"/>
                    </w:rPr>
                    <w:t>evaluation.</w:t>
                  </w:r>
                </w:p>
                <w:p w:rsidR="0012773F" w:rsidRDefault="0043283C" w:rsidP="0012773F">
                  <w:pPr>
                    <w:spacing w:after="0" w:line="240" w:lineRule="auto"/>
                    <w:rPr>
                      <w:rFonts w:eastAsiaTheme="minorEastAsia" w:hAnsi="Calibri"/>
                      <w:color w:val="000000" w:themeColor="text1"/>
                      <w:kern w:val="24"/>
                      <w:sz w:val="18"/>
                      <w:szCs w:val="18"/>
                    </w:rPr>
                  </w:pPr>
                  <w:r w:rsidRPr="0012773F">
                    <w:rPr>
                      <w:rFonts w:eastAsiaTheme="minorEastAsia" w:hAnsi="Calibri"/>
                      <w:color w:val="000000" w:themeColor="text1"/>
                      <w:kern w:val="24"/>
                      <w:sz w:val="18"/>
                      <w:szCs w:val="18"/>
                    </w:rPr>
                    <w:t xml:space="preserve">Avera is accredited by the Accreditation Council for Continuing Medical Education to provide continuing education for physicians. Avera designates this educational activity for a maximum of </w:t>
                  </w:r>
                  <w:r>
                    <w:rPr>
                      <w:rFonts w:eastAsiaTheme="minorEastAsia" w:hAnsi="Calibri"/>
                      <w:noProof/>
                      <w:color w:val="FF0000"/>
                      <w:kern w:val="24"/>
                      <w:sz w:val="18"/>
                      <w:szCs w:val="18"/>
                      <w:u w:val="single"/>
                    </w:rPr>
                    <w:t>1.0</w:t>
                  </w:r>
                  <w:r w:rsidRPr="002E1AA5">
                    <w:rPr>
                      <w:rFonts w:eastAsiaTheme="minorEastAsia" w:hAnsi="Calibri"/>
                      <w:color w:val="000000" w:themeColor="text1"/>
                      <w:kern w:val="24"/>
                      <w:sz w:val="18"/>
                      <w:szCs w:val="18"/>
                    </w:rPr>
                    <w:t xml:space="preserve"> </w:t>
                  </w:r>
                  <w:r w:rsidRPr="0012773F">
                    <w:rPr>
                      <w:rFonts w:eastAsiaTheme="minorEastAsia" w:hAnsi="Calibri"/>
                      <w:color w:val="000000" w:themeColor="text1"/>
                      <w:kern w:val="24"/>
                      <w:sz w:val="18"/>
                      <w:szCs w:val="18"/>
                    </w:rPr>
                    <w:t>AMA PR</w:t>
                  </w:r>
                  <w:r>
                    <w:rPr>
                      <w:rFonts w:eastAsiaTheme="minorEastAsia" w:hAnsi="Calibri"/>
                      <w:color w:val="000000" w:themeColor="text1"/>
                      <w:kern w:val="24"/>
                      <w:sz w:val="18"/>
                      <w:szCs w:val="18"/>
                    </w:rPr>
                    <w:t>A Category 1 Credit per session</w:t>
                  </w:r>
                  <w:r w:rsidRPr="0012773F">
                    <w:rPr>
                      <w:rFonts w:eastAsiaTheme="minorEastAsia" w:hAnsi="Calibri"/>
                      <w:color w:val="000000" w:themeColor="text1"/>
                      <w:kern w:val="24"/>
                      <w:sz w:val="18"/>
                      <w:szCs w:val="18"/>
                    </w:rPr>
                    <w:t xml:space="preserve">. Physicians should only claim credit commensurate with the extent of their participation in the activity. </w:t>
                  </w:r>
                </w:p>
                <w:p w:rsidR="0012773F" w:rsidRPr="0012773F" w:rsidRDefault="009A1A41" w:rsidP="0012773F">
                  <w:pPr>
                    <w:spacing w:after="0" w:line="240" w:lineRule="auto"/>
                    <w:rPr>
                      <w:rFonts w:ascii="Times New Roman" w:eastAsia="Times New Roman" w:hAnsi="Times New Roman" w:cs="Times New Roman"/>
                      <w:sz w:val="24"/>
                      <w:szCs w:val="24"/>
                    </w:rPr>
                  </w:pPr>
                </w:p>
                <w:p w:rsidR="003277ED" w:rsidRDefault="0043283C" w:rsidP="003277ED">
                  <w:pPr>
                    <w:spacing w:after="0" w:line="240" w:lineRule="auto"/>
                    <w:rPr>
                      <w:rFonts w:eastAsiaTheme="minorEastAsia" w:hAnsi="Calibri"/>
                      <w:color w:val="000000" w:themeColor="text1"/>
                      <w:kern w:val="24"/>
                      <w:sz w:val="18"/>
                      <w:szCs w:val="18"/>
                    </w:rPr>
                  </w:pPr>
                  <w:r w:rsidRPr="003277ED">
                    <w:rPr>
                      <w:rFonts w:eastAsiaTheme="minorEastAsia" w:hAnsi="Calibri"/>
                      <w:color w:val="000000" w:themeColor="text1"/>
                      <w:kern w:val="24"/>
                      <w:sz w:val="18"/>
                      <w:szCs w:val="18"/>
                    </w:rPr>
                    <w:t xml:space="preserve">Avera is an Approved Provider of continuing nursing education by the Alabama State Nurses Association, an accredited approver by the American Nurses Credentialing Center’s Commission on Accreditation. A total </w:t>
                  </w:r>
                  <w:r>
                    <w:rPr>
                      <w:rFonts w:eastAsiaTheme="minorEastAsia" w:hAnsi="Calibri"/>
                      <w:color w:val="FF0000"/>
                      <w:kern w:val="24"/>
                      <w:sz w:val="18"/>
                      <w:szCs w:val="18"/>
                      <w:u w:val="single"/>
                    </w:rPr>
                    <w:t>1.</w:t>
                  </w:r>
                  <w:r w:rsidRPr="003277ED">
                    <w:rPr>
                      <w:rFonts w:eastAsiaTheme="minorEastAsia" w:hAnsi="Calibri"/>
                      <w:color w:val="FF0000"/>
                      <w:kern w:val="24"/>
                      <w:sz w:val="18"/>
                      <w:szCs w:val="18"/>
                      <w:u w:val="single"/>
                    </w:rPr>
                    <w:t>0</w:t>
                  </w:r>
                  <w:r w:rsidRPr="003277ED">
                    <w:rPr>
                      <w:rFonts w:eastAsiaTheme="minorEastAsia" w:hAnsi="Calibri"/>
                      <w:color w:val="FF0000"/>
                      <w:kern w:val="24"/>
                      <w:sz w:val="18"/>
                      <w:szCs w:val="18"/>
                    </w:rPr>
                    <w:t xml:space="preserve"> </w:t>
                  </w:r>
                  <w:r w:rsidRPr="003277ED">
                    <w:rPr>
                      <w:rFonts w:eastAsiaTheme="minorEastAsia" w:hAnsi="Calibri"/>
                      <w:color w:val="000000" w:themeColor="text1"/>
                      <w:kern w:val="24"/>
                      <w:sz w:val="18"/>
                      <w:szCs w:val="18"/>
                    </w:rPr>
                    <w:t>contact hours can be received upon completion of this activity. Attendance at the entire educational activity is required to receive contact hours.</w:t>
                  </w:r>
                </w:p>
                <w:p w:rsidR="0085083E" w:rsidRDefault="0085083E" w:rsidP="003277ED">
                  <w:pPr>
                    <w:spacing w:after="0" w:line="240" w:lineRule="auto"/>
                    <w:rPr>
                      <w:rFonts w:eastAsiaTheme="minorEastAsia" w:hAnsi="Calibri"/>
                      <w:color w:val="000000" w:themeColor="text1"/>
                      <w:kern w:val="24"/>
                      <w:sz w:val="18"/>
                      <w:szCs w:val="18"/>
                    </w:rPr>
                  </w:pPr>
                </w:p>
                <w:p w:rsidR="0085083E" w:rsidRPr="003277ED" w:rsidRDefault="0085083E" w:rsidP="003277ED">
                  <w:pPr>
                    <w:spacing w:after="0" w:line="240" w:lineRule="auto"/>
                    <w:rPr>
                      <w:rFonts w:eastAsiaTheme="minorEastAsia" w:hAnsi="Calibri"/>
                      <w:color w:val="000000" w:themeColor="text1"/>
                      <w:kern w:val="24"/>
                      <w:sz w:val="18"/>
                      <w:szCs w:val="18"/>
                    </w:rPr>
                  </w:pPr>
                  <w:r>
                    <w:rPr>
                      <w:rFonts w:eastAsiaTheme="minorEastAsia" w:hAnsi="Calibri"/>
                      <w:color w:val="000000" w:themeColor="text1"/>
                      <w:kern w:val="24"/>
                      <w:sz w:val="18"/>
                      <w:szCs w:val="18"/>
                    </w:rPr>
                    <w:t xml:space="preserve">The South Dakota Board of Social Work Examiners has approved this educational activity for </w:t>
                  </w:r>
                  <w:r w:rsidRPr="0085083E">
                    <w:rPr>
                      <w:rFonts w:eastAsiaTheme="minorEastAsia" w:hAnsi="Calibri"/>
                      <w:color w:val="FF0000"/>
                      <w:kern w:val="24"/>
                      <w:sz w:val="18"/>
                      <w:szCs w:val="18"/>
                      <w:u w:val="single"/>
                    </w:rPr>
                    <w:t>1.0</w:t>
                  </w:r>
                  <w:r w:rsidRPr="0085083E">
                    <w:rPr>
                      <w:rFonts w:eastAsiaTheme="minorEastAsia" w:hAnsi="Calibri"/>
                      <w:color w:val="FF0000"/>
                      <w:kern w:val="24"/>
                      <w:sz w:val="18"/>
                      <w:szCs w:val="18"/>
                    </w:rPr>
                    <w:t xml:space="preserve"> </w:t>
                  </w:r>
                  <w:r>
                    <w:rPr>
                      <w:rFonts w:eastAsiaTheme="minorEastAsia" w:hAnsi="Calibri"/>
                      <w:color w:val="000000" w:themeColor="text1"/>
                      <w:kern w:val="24"/>
                      <w:sz w:val="18"/>
                      <w:szCs w:val="18"/>
                    </w:rPr>
                    <w:t>hours.</w:t>
                  </w:r>
                </w:p>
                <w:p w:rsidR="0093151B" w:rsidRDefault="009A1A41" w:rsidP="0012773F">
                  <w:pPr>
                    <w:spacing w:after="0" w:line="240" w:lineRule="auto"/>
                    <w:rPr>
                      <w:rFonts w:eastAsiaTheme="minorEastAsia" w:hAnsi="Calibri"/>
                      <w:color w:val="000000" w:themeColor="text1"/>
                      <w:kern w:val="24"/>
                      <w:sz w:val="18"/>
                      <w:szCs w:val="18"/>
                    </w:rPr>
                  </w:pPr>
                </w:p>
                <w:p w:rsidR="0012773F" w:rsidRPr="0043283C" w:rsidRDefault="0043283C" w:rsidP="0043283C">
                  <w:pPr>
                    <w:spacing w:after="0" w:line="240" w:lineRule="auto"/>
                    <w:rPr>
                      <w:rFonts w:eastAsiaTheme="minorEastAsia" w:hAnsi="Calibri"/>
                      <w:i/>
                      <w:color w:val="000000" w:themeColor="text1"/>
                      <w:kern w:val="24"/>
                      <w:sz w:val="18"/>
                      <w:szCs w:val="18"/>
                    </w:rPr>
                  </w:pPr>
                  <w:r w:rsidRPr="0043283C">
                    <w:rPr>
                      <w:rFonts w:eastAsiaTheme="minorEastAsia" w:hAnsi="Calibri"/>
                      <w:i/>
                      <w:color w:val="000000" w:themeColor="text1"/>
                      <w:kern w:val="24"/>
                      <w:sz w:val="18"/>
                      <w:szCs w:val="18"/>
                    </w:rPr>
                    <w:t xml:space="preserve">Policy on Disclosure: Continuing Education credits have been approved for this event.  Due to the regulations required for CE credits all conflict of interest that the presenter(s) or planning committee members have needs to be fully disclosed to participants.  In observance to this requirement we are providing the following disclosure information: All planners, authors and content reviewers have disclosed no conflict of </w:t>
                  </w:r>
                  <w:r w:rsidR="0085083E" w:rsidRPr="0043283C">
                    <w:rPr>
                      <w:rFonts w:eastAsiaTheme="minorEastAsia" w:hAnsi="Calibri"/>
                      <w:i/>
                      <w:color w:val="000000" w:themeColor="text1"/>
                      <w:kern w:val="24"/>
                      <w:sz w:val="18"/>
                      <w:szCs w:val="18"/>
                    </w:rPr>
                    <w:t>interest</w:t>
                  </w:r>
                  <w:r w:rsidRPr="0043283C">
                    <w:rPr>
                      <w:rFonts w:eastAsiaTheme="minorEastAsia" w:hAnsi="Calibri"/>
                      <w:i/>
                      <w:color w:val="000000" w:themeColor="text1"/>
                      <w:kern w:val="24"/>
                      <w:sz w:val="18"/>
                      <w:szCs w:val="18"/>
                    </w:rPr>
                    <w:t>.</w:t>
                  </w:r>
                </w:p>
              </w:txbxContent>
            </v:textbox>
          </v:shape>
        </w:pict>
      </w:r>
    </w:p>
    <w:sectPr w:rsidR="001038EE" w:rsidSect="0093151B">
      <w:headerReference w:type="default" r:id="rId8"/>
      <w:footerReference w:type="default" r:id="rId9"/>
      <w:pgSz w:w="12240" w:h="15840"/>
      <w:pgMar w:top="0" w:right="0" w:bottom="0" w:left="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7D7" w:rsidRDefault="0043283C">
      <w:pPr>
        <w:spacing w:after="0" w:line="240" w:lineRule="auto"/>
      </w:pPr>
      <w:r>
        <w:separator/>
      </w:r>
    </w:p>
  </w:endnote>
  <w:endnote w:type="continuationSeparator" w:id="0">
    <w:p w:rsidR="008F77D7" w:rsidRDefault="00432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51B" w:rsidRDefault="0043283C">
    <w:pPr>
      <w:pStyle w:val="Footer"/>
    </w:pPr>
    <w:r>
      <w:rPr>
        <w:noProof/>
      </w:rPr>
      <w:drawing>
        <wp:inline distT="0" distB="0" distL="0" distR="0">
          <wp:extent cx="2944905" cy="1134653"/>
          <wp:effectExtent l="0" t="0" r="825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nouncement footer.jpg"/>
                  <pic:cNvPicPr/>
                </pic:nvPicPr>
                <pic:blipFill>
                  <a:blip r:embed="rId1">
                    <a:extLst>
                      <a:ext uri="{28A0092B-C50C-407E-A947-70E740481C1C}">
                        <a14:useLocalDpi xmlns:a14="http://schemas.microsoft.com/office/drawing/2010/main" val="0"/>
                      </a:ext>
                    </a:extLst>
                  </a:blip>
                  <a:stretch>
                    <a:fillRect/>
                  </a:stretch>
                </pic:blipFill>
                <pic:spPr>
                  <a:xfrm>
                    <a:off x="0" y="0"/>
                    <a:ext cx="3049834" cy="117508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7D7" w:rsidRDefault="0043283C">
      <w:pPr>
        <w:spacing w:after="0" w:line="240" w:lineRule="auto"/>
      </w:pPr>
      <w:r>
        <w:separator/>
      </w:r>
    </w:p>
  </w:footnote>
  <w:footnote w:type="continuationSeparator" w:id="0">
    <w:p w:rsidR="008F77D7" w:rsidRDefault="004328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51B" w:rsidRDefault="0043283C">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-17930</wp:posOffset>
              </wp:positionH>
              <wp:positionV relativeFrom="paragraph">
                <wp:posOffset>-448235</wp:posOffset>
              </wp:positionV>
              <wp:extent cx="8108576" cy="476655"/>
              <wp:effectExtent l="0" t="0" r="26035" b="19050"/>
              <wp:wrapNone/>
              <wp:docPr id="1" name="Rectangle 1"/>
              <wp:cNvGraphicFramePr/>
              <a:graphic xmlns:a="http://schemas.openxmlformats.org/drawingml/2006/main">
                <a:graphicData uri="http://schemas.microsoft.com/office/word/2010/wordprocessingShape">
                  <wps:wsp>
                    <wps:cNvSpPr/>
                    <wps:spPr>
                      <a:xfrm>
                        <a:off x="0" y="0"/>
                        <a:ext cx="8108576" cy="476655"/>
                      </a:xfrm>
                      <a:prstGeom prst="rect">
                        <a:avLst/>
                      </a:prstGeom>
                      <a:solidFill>
                        <a:srgbClr val="3D1C5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2049" style="height:37.55pt;margin-left:-1.4pt;margin-top:-35.3pt;mso-height-percent:0;mso-height-relative:margin;mso-width-percent:0;mso-width-relative:margin;mso-wrap-distance-bottom:0;mso-wrap-distance-left:9pt;mso-wrap-distance-right:9pt;mso-wrap-distance-top:0;mso-wrap-style:square;position:absolute;v-text-anchor:middle;visibility:visible;width:638.45pt;z-index:251659264" fillcolor="#3d1c58" strokecolor="#1f4d78"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91545F"/>
    <w:multiLevelType w:val="hybridMultilevel"/>
    <w:tmpl w:val="163A1486"/>
    <w:lvl w:ilvl="0" w:tplc="4C34F818">
      <w:start w:val="1"/>
      <w:numFmt w:val="bullet"/>
      <w:lvlText w:val="•"/>
      <w:lvlJc w:val="left"/>
      <w:pPr>
        <w:tabs>
          <w:tab w:val="num" w:pos="720"/>
        </w:tabs>
        <w:ind w:left="720" w:hanging="360"/>
      </w:pPr>
      <w:rPr>
        <w:rFonts w:ascii="Arial" w:hAnsi="Arial" w:hint="default"/>
      </w:rPr>
    </w:lvl>
    <w:lvl w:ilvl="1" w:tplc="4D949416">
      <w:start w:val="1"/>
      <w:numFmt w:val="bullet"/>
      <w:lvlText w:val="•"/>
      <w:lvlJc w:val="left"/>
      <w:pPr>
        <w:tabs>
          <w:tab w:val="num" w:pos="1890"/>
        </w:tabs>
        <w:ind w:left="1890" w:hanging="360"/>
      </w:pPr>
      <w:rPr>
        <w:rFonts w:ascii="Arial" w:hAnsi="Arial" w:hint="default"/>
      </w:rPr>
    </w:lvl>
    <w:lvl w:ilvl="2" w:tplc="A4641F2A" w:tentative="1">
      <w:start w:val="1"/>
      <w:numFmt w:val="bullet"/>
      <w:lvlText w:val="•"/>
      <w:lvlJc w:val="left"/>
      <w:pPr>
        <w:tabs>
          <w:tab w:val="num" w:pos="2160"/>
        </w:tabs>
        <w:ind w:left="2160" w:hanging="360"/>
      </w:pPr>
      <w:rPr>
        <w:rFonts w:ascii="Arial" w:hAnsi="Arial" w:hint="default"/>
      </w:rPr>
    </w:lvl>
    <w:lvl w:ilvl="3" w:tplc="E90ADBD4" w:tentative="1">
      <w:start w:val="1"/>
      <w:numFmt w:val="bullet"/>
      <w:lvlText w:val="•"/>
      <w:lvlJc w:val="left"/>
      <w:pPr>
        <w:tabs>
          <w:tab w:val="num" w:pos="2880"/>
        </w:tabs>
        <w:ind w:left="2880" w:hanging="360"/>
      </w:pPr>
      <w:rPr>
        <w:rFonts w:ascii="Arial" w:hAnsi="Arial" w:hint="default"/>
      </w:rPr>
    </w:lvl>
    <w:lvl w:ilvl="4" w:tplc="FFEED930" w:tentative="1">
      <w:start w:val="1"/>
      <w:numFmt w:val="bullet"/>
      <w:lvlText w:val="•"/>
      <w:lvlJc w:val="left"/>
      <w:pPr>
        <w:tabs>
          <w:tab w:val="num" w:pos="3600"/>
        </w:tabs>
        <w:ind w:left="3600" w:hanging="360"/>
      </w:pPr>
      <w:rPr>
        <w:rFonts w:ascii="Arial" w:hAnsi="Arial" w:hint="default"/>
      </w:rPr>
    </w:lvl>
    <w:lvl w:ilvl="5" w:tplc="BD3AF4A0" w:tentative="1">
      <w:start w:val="1"/>
      <w:numFmt w:val="bullet"/>
      <w:lvlText w:val="•"/>
      <w:lvlJc w:val="left"/>
      <w:pPr>
        <w:tabs>
          <w:tab w:val="num" w:pos="4320"/>
        </w:tabs>
        <w:ind w:left="4320" w:hanging="360"/>
      </w:pPr>
      <w:rPr>
        <w:rFonts w:ascii="Arial" w:hAnsi="Arial" w:hint="default"/>
      </w:rPr>
    </w:lvl>
    <w:lvl w:ilvl="6" w:tplc="5B206F1E" w:tentative="1">
      <w:start w:val="1"/>
      <w:numFmt w:val="bullet"/>
      <w:lvlText w:val="•"/>
      <w:lvlJc w:val="left"/>
      <w:pPr>
        <w:tabs>
          <w:tab w:val="num" w:pos="5040"/>
        </w:tabs>
        <w:ind w:left="5040" w:hanging="360"/>
      </w:pPr>
      <w:rPr>
        <w:rFonts w:ascii="Arial" w:hAnsi="Arial" w:hint="default"/>
      </w:rPr>
    </w:lvl>
    <w:lvl w:ilvl="7" w:tplc="49826940" w:tentative="1">
      <w:start w:val="1"/>
      <w:numFmt w:val="bullet"/>
      <w:lvlText w:val="•"/>
      <w:lvlJc w:val="left"/>
      <w:pPr>
        <w:tabs>
          <w:tab w:val="num" w:pos="5760"/>
        </w:tabs>
        <w:ind w:left="5760" w:hanging="360"/>
      </w:pPr>
      <w:rPr>
        <w:rFonts w:ascii="Arial" w:hAnsi="Arial" w:hint="default"/>
      </w:rPr>
    </w:lvl>
    <w:lvl w:ilvl="8" w:tplc="220A231C"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BAF"/>
    <w:rsid w:val="00061692"/>
    <w:rsid w:val="0043283C"/>
    <w:rsid w:val="0085083E"/>
    <w:rsid w:val="008F77D7"/>
    <w:rsid w:val="00955B1A"/>
    <w:rsid w:val="009A1A41"/>
    <w:rsid w:val="00EE3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2979A507-9C8F-44C9-9274-09DE21C19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0785"/>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semiHidden/>
    <w:unhideWhenUsed/>
    <w:rsid w:val="00900785"/>
    <w:rPr>
      <w:color w:val="0000FF"/>
      <w:u w:val="single"/>
    </w:rPr>
  </w:style>
  <w:style w:type="paragraph" w:styleId="Header">
    <w:name w:val="header"/>
    <w:basedOn w:val="Normal"/>
    <w:link w:val="HeaderChar"/>
    <w:uiPriority w:val="99"/>
    <w:unhideWhenUsed/>
    <w:rsid w:val="006B6D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D30"/>
  </w:style>
  <w:style w:type="paragraph" w:styleId="Footer">
    <w:name w:val="footer"/>
    <w:basedOn w:val="Normal"/>
    <w:link w:val="FooterChar"/>
    <w:uiPriority w:val="99"/>
    <w:unhideWhenUsed/>
    <w:rsid w:val="006B6D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D30"/>
  </w:style>
  <w:style w:type="paragraph" w:styleId="ListParagraph">
    <w:name w:val="List Paragraph"/>
    <w:basedOn w:val="Normal"/>
    <w:uiPriority w:val="34"/>
    <w:qFormat/>
    <w:rsid w:val="000616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04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ativecairns.org/CAIRNS/Belief.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Avera</Company>
  <LinksUpToDate>false</LinksUpToDate>
  <CharactersWithSpaces>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Plucker</dc:creator>
  <cp:lastModifiedBy>Sharon Plucker</cp:lastModifiedBy>
  <cp:revision>4</cp:revision>
  <dcterms:created xsi:type="dcterms:W3CDTF">2018-12-20T14:29:00Z</dcterms:created>
  <dcterms:modified xsi:type="dcterms:W3CDTF">2018-12-26T20:36:00Z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-104044214</vt:i4>
  </property>
  <property fmtid="{D5CDD505-2E9C-101B-9397-08002B2CF9AE}" pid="3" name="_AuthorEmail">
    <vt:lpwstr>Sharon.Plucker@avera.org</vt:lpwstr>
  </property>
  <property fmtid="{D5CDD505-2E9C-101B-9397-08002B2CF9AE}" pid="4" name="_AuthorEmailDisplayName">
    <vt:lpwstr>Sharon Plucker</vt:lpwstr>
  </property>
  <property fmtid="{D5CDD505-2E9C-101B-9397-08002B2CF9AE}" pid="5" name="_EmailSubject">
    <vt:lpwstr>[CloudCME Support] Re: Avera - Switch the template document used for creating brochures in the Portal</vt:lpwstr>
  </property>
  <property fmtid="{D5CDD505-2E9C-101B-9397-08002B2CF9AE}" pid="6" name="_NewReviewCycle">
    <vt:lpwstr/>
  </property>
  <property fmtid="{D5CDD505-2E9C-101B-9397-08002B2CF9AE}" pid="7" name="_ReviewingToolsShownOnce">
    <vt:lpwstr/>
  </property>
</Properties>
</file>